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E0BAD" w14:textId="77777777" w:rsidR="00796E7B" w:rsidRPr="00DD3777" w:rsidRDefault="00796E7B" w:rsidP="00796E7B">
      <w:pPr>
        <w:spacing w:after="0" w:line="240" w:lineRule="auto"/>
        <w:rPr>
          <w:rFonts w:ascii="Calibri" w:hAnsi="Calibri" w:cs="Calibri"/>
          <w:b/>
          <w:bCs/>
        </w:rPr>
      </w:pPr>
    </w:p>
    <w:p w14:paraId="5E7AB8F5" w14:textId="04B58501" w:rsidR="003A1AB2" w:rsidRDefault="003A1AB2" w:rsidP="000725D7">
      <w:pPr>
        <w:spacing w:line="240" w:lineRule="auto"/>
        <w:rPr>
          <w:rFonts w:ascii="Calibri" w:hAnsi="Calibri" w:cs="Calibri"/>
          <w:b/>
          <w:bCs/>
          <w:sz w:val="24"/>
          <w:szCs w:val="24"/>
        </w:rPr>
      </w:pPr>
      <w:r w:rsidRPr="008C7C73">
        <w:rPr>
          <w:rFonts w:ascii="Calibri" w:hAnsi="Calibri" w:cs="Calibri"/>
          <w:b/>
          <w:bCs/>
          <w:sz w:val="24"/>
          <w:szCs w:val="24"/>
        </w:rPr>
        <w:t xml:space="preserve">Disappointment as Teachers' </w:t>
      </w:r>
      <w:r w:rsidR="7F62B0FC" w:rsidRPr="008C7C73">
        <w:rPr>
          <w:rFonts w:ascii="Calibri" w:hAnsi="Calibri" w:cs="Calibri"/>
          <w:b/>
          <w:bCs/>
          <w:sz w:val="24"/>
          <w:szCs w:val="24"/>
        </w:rPr>
        <w:t>20</w:t>
      </w:r>
      <w:r w:rsidR="09940169" w:rsidRPr="008C7C73">
        <w:rPr>
          <w:rFonts w:ascii="Calibri" w:hAnsi="Calibri" w:cs="Calibri"/>
          <w:b/>
          <w:bCs/>
          <w:sz w:val="24"/>
          <w:szCs w:val="24"/>
        </w:rPr>
        <w:t xml:space="preserve">24/25 </w:t>
      </w:r>
      <w:r w:rsidRPr="008C7C73">
        <w:rPr>
          <w:rFonts w:ascii="Calibri" w:hAnsi="Calibri" w:cs="Calibri"/>
          <w:b/>
          <w:bCs/>
          <w:sz w:val="24"/>
          <w:szCs w:val="24"/>
        </w:rPr>
        <w:t>Pay Offer Rejected for a Second Time</w:t>
      </w:r>
    </w:p>
    <w:p w14:paraId="3CF4E11F" w14:textId="77D15F5B" w:rsidR="003178F7" w:rsidRPr="008C7C73" w:rsidRDefault="003178F7" w:rsidP="000725D7">
      <w:pPr>
        <w:spacing w:line="240" w:lineRule="auto"/>
        <w:rPr>
          <w:rFonts w:ascii="Calibri" w:hAnsi="Calibri" w:cs="Calibri"/>
          <w:b/>
          <w:bCs/>
          <w:sz w:val="24"/>
          <w:szCs w:val="24"/>
        </w:rPr>
      </w:pPr>
      <w:r>
        <w:rPr>
          <w:rFonts w:ascii="Calibri" w:hAnsi="Calibri" w:cs="Calibri"/>
          <w:b/>
          <w:bCs/>
          <w:sz w:val="24"/>
          <w:szCs w:val="24"/>
        </w:rPr>
        <w:t>Friday 28 March 2025</w:t>
      </w:r>
    </w:p>
    <w:p w14:paraId="13AC8DD6" w14:textId="29E60E30" w:rsidR="003A1AB2" w:rsidRPr="00DD3777" w:rsidRDefault="003A1AB2" w:rsidP="00796E7B">
      <w:pPr>
        <w:spacing w:line="240" w:lineRule="auto"/>
        <w:rPr>
          <w:rFonts w:ascii="Calibri" w:hAnsi="Calibri" w:cs="Calibri"/>
        </w:rPr>
      </w:pPr>
      <w:r w:rsidRPr="00DD3777">
        <w:rPr>
          <w:rFonts w:ascii="Calibri" w:hAnsi="Calibri" w:cs="Calibri"/>
        </w:rPr>
        <w:t xml:space="preserve">The Management Side of the Teachers' Negotiating Committee has expressed disappointment </w:t>
      </w:r>
      <w:r w:rsidR="00F9073D" w:rsidRPr="00DD3777">
        <w:rPr>
          <w:rFonts w:ascii="Calibri" w:hAnsi="Calibri" w:cs="Calibri"/>
        </w:rPr>
        <w:t>that the</w:t>
      </w:r>
      <w:r w:rsidRPr="00DD3777">
        <w:rPr>
          <w:rFonts w:ascii="Calibri" w:hAnsi="Calibri" w:cs="Calibri"/>
        </w:rPr>
        <w:t xml:space="preserve"> Northern Ireland Teachers' Council (NITC) </w:t>
      </w:r>
      <w:r w:rsidR="00F9073D" w:rsidRPr="00DD3777">
        <w:rPr>
          <w:rFonts w:ascii="Calibri" w:hAnsi="Calibri" w:cs="Calibri"/>
        </w:rPr>
        <w:t xml:space="preserve">has rejected </w:t>
      </w:r>
      <w:r w:rsidR="00F3277A" w:rsidRPr="00DD3777">
        <w:rPr>
          <w:rFonts w:ascii="Calibri" w:hAnsi="Calibri" w:cs="Calibri"/>
        </w:rPr>
        <w:t xml:space="preserve">a pay offer for </w:t>
      </w:r>
      <w:r w:rsidRPr="00DD3777">
        <w:rPr>
          <w:rFonts w:ascii="Calibri" w:hAnsi="Calibri" w:cs="Calibri"/>
        </w:rPr>
        <w:t>a second time.</w:t>
      </w:r>
    </w:p>
    <w:p w14:paraId="5DCA0B41" w14:textId="5F3B9BDC" w:rsidR="003A1AB2" w:rsidRPr="00DD3777" w:rsidRDefault="003A1AB2" w:rsidP="00796E7B">
      <w:pPr>
        <w:spacing w:line="240" w:lineRule="auto"/>
        <w:rPr>
          <w:rFonts w:ascii="Calibri" w:hAnsi="Calibri" w:cs="Calibri"/>
        </w:rPr>
      </w:pPr>
      <w:r w:rsidRPr="00DD3777">
        <w:rPr>
          <w:rFonts w:ascii="Calibri" w:hAnsi="Calibri" w:cs="Calibri"/>
        </w:rPr>
        <w:t xml:space="preserve">The </w:t>
      </w:r>
      <w:r w:rsidR="005A2BEB" w:rsidRPr="00DD3777">
        <w:rPr>
          <w:rFonts w:ascii="Calibri" w:hAnsi="Calibri" w:cs="Calibri"/>
        </w:rPr>
        <w:t>latest offer</w:t>
      </w:r>
      <w:r w:rsidRPr="00DD3777">
        <w:rPr>
          <w:rFonts w:ascii="Calibri" w:hAnsi="Calibri" w:cs="Calibri"/>
        </w:rPr>
        <w:t xml:space="preserve"> included:</w:t>
      </w:r>
    </w:p>
    <w:p w14:paraId="2B1EA584" w14:textId="05AFA809" w:rsidR="003A1AB2" w:rsidRPr="00DD3777" w:rsidRDefault="003A1AB2" w:rsidP="00796E7B">
      <w:pPr>
        <w:numPr>
          <w:ilvl w:val="0"/>
          <w:numId w:val="8"/>
        </w:numPr>
        <w:spacing w:line="240" w:lineRule="auto"/>
        <w:rPr>
          <w:rFonts w:ascii="Calibri" w:hAnsi="Calibri" w:cs="Calibri"/>
        </w:rPr>
      </w:pPr>
      <w:r w:rsidRPr="00DD3777">
        <w:rPr>
          <w:rFonts w:ascii="Calibri" w:hAnsi="Calibri" w:cs="Calibri"/>
        </w:rPr>
        <w:t>A 5.5%</w:t>
      </w:r>
      <w:r w:rsidR="00631FBC">
        <w:rPr>
          <w:rFonts w:ascii="Calibri" w:hAnsi="Calibri" w:cs="Calibri"/>
        </w:rPr>
        <w:t xml:space="preserve"> </w:t>
      </w:r>
      <w:r w:rsidRPr="00DD3777">
        <w:rPr>
          <w:rFonts w:ascii="Calibri" w:hAnsi="Calibri" w:cs="Calibri"/>
        </w:rPr>
        <w:t>cost of living award for all teachers from 1 September 2024</w:t>
      </w:r>
      <w:r w:rsidR="006735D2" w:rsidRPr="00691722">
        <w:rPr>
          <w:rFonts w:ascii="Calibri" w:hAnsi="Calibri" w:cs="Calibri"/>
          <w:b/>
          <w:bCs/>
        </w:rPr>
        <w:t>*</w:t>
      </w:r>
      <w:r w:rsidR="00631FBC" w:rsidRPr="00691722">
        <w:rPr>
          <w:rFonts w:ascii="Calibri" w:hAnsi="Calibri" w:cs="Calibri"/>
          <w:b/>
          <w:bCs/>
        </w:rPr>
        <w:t xml:space="preserve"> </w:t>
      </w:r>
    </w:p>
    <w:p w14:paraId="51C077D1" w14:textId="77777777" w:rsidR="003A1AB2" w:rsidRPr="00DD3777" w:rsidRDefault="003A1AB2" w:rsidP="00796E7B">
      <w:pPr>
        <w:numPr>
          <w:ilvl w:val="0"/>
          <w:numId w:val="8"/>
        </w:numPr>
        <w:spacing w:line="240" w:lineRule="auto"/>
        <w:rPr>
          <w:rFonts w:ascii="Calibri" w:hAnsi="Calibri" w:cs="Calibri"/>
        </w:rPr>
      </w:pPr>
      <w:r w:rsidRPr="00DD3777">
        <w:rPr>
          <w:rFonts w:ascii="Calibri" w:hAnsi="Calibri" w:cs="Calibri"/>
        </w:rPr>
        <w:t>A 5.5% increase on Teaching and Special Needs allowances</w:t>
      </w:r>
    </w:p>
    <w:p w14:paraId="5FC175F9" w14:textId="77777777" w:rsidR="003A1AB2" w:rsidRPr="00DD3777" w:rsidRDefault="003A1AB2" w:rsidP="00796E7B">
      <w:pPr>
        <w:numPr>
          <w:ilvl w:val="0"/>
          <w:numId w:val="8"/>
        </w:numPr>
        <w:spacing w:line="240" w:lineRule="auto"/>
        <w:rPr>
          <w:rFonts w:ascii="Calibri" w:hAnsi="Calibri" w:cs="Calibri"/>
        </w:rPr>
      </w:pPr>
      <w:r w:rsidRPr="00DD3777">
        <w:rPr>
          <w:rFonts w:ascii="Calibri" w:hAnsi="Calibri" w:cs="Calibri"/>
        </w:rPr>
        <w:t>A commitment to jointly deliver over 25 measures to address workload concerns</w:t>
      </w:r>
    </w:p>
    <w:p w14:paraId="1BD7C4A0" w14:textId="197BBBC9" w:rsidR="003A1AB2" w:rsidRPr="00DD3777" w:rsidRDefault="003A1AB2" w:rsidP="00796E7B">
      <w:pPr>
        <w:numPr>
          <w:ilvl w:val="0"/>
          <w:numId w:val="8"/>
        </w:numPr>
        <w:spacing w:line="240" w:lineRule="auto"/>
        <w:rPr>
          <w:rFonts w:ascii="Calibri" w:hAnsi="Calibri" w:cs="Calibri"/>
        </w:rPr>
      </w:pPr>
      <w:r w:rsidRPr="00DD3777">
        <w:rPr>
          <w:rFonts w:ascii="Calibri" w:hAnsi="Calibri" w:cs="Calibri"/>
        </w:rPr>
        <w:t xml:space="preserve">A </w:t>
      </w:r>
      <w:r w:rsidR="00DD3913" w:rsidRPr="00DD3777">
        <w:rPr>
          <w:rFonts w:ascii="Calibri" w:hAnsi="Calibri" w:cs="Calibri"/>
        </w:rPr>
        <w:t>commitment</w:t>
      </w:r>
      <w:r w:rsidRPr="00DD3777">
        <w:rPr>
          <w:rFonts w:ascii="Calibri" w:hAnsi="Calibri" w:cs="Calibri"/>
        </w:rPr>
        <w:t xml:space="preserve"> that future pay offers would be made by no later than January of the same financial year</w:t>
      </w:r>
    </w:p>
    <w:p w14:paraId="159D2736" w14:textId="6F11B8BF" w:rsidR="00953FC5" w:rsidRPr="00DD3777" w:rsidRDefault="00953FC5" w:rsidP="00796E7B">
      <w:pPr>
        <w:spacing w:line="240" w:lineRule="auto"/>
        <w:rPr>
          <w:rFonts w:ascii="Calibri" w:hAnsi="Calibri" w:cs="Calibri"/>
        </w:rPr>
      </w:pPr>
      <w:r w:rsidRPr="00DD3777">
        <w:rPr>
          <w:rFonts w:ascii="Calibri" w:hAnsi="Calibri" w:cs="Calibri"/>
        </w:rPr>
        <w:t xml:space="preserve">The rejected pay offer was at a full year cost of £83 million and followed on from the teachers’ pay offer agreed in April 2024 which saw the starting salary for teachers raised by almost 25% and other teachers pay by </w:t>
      </w:r>
      <w:r w:rsidR="4EC5B500" w:rsidRPr="00DD3777">
        <w:rPr>
          <w:rFonts w:ascii="Calibri" w:hAnsi="Calibri" w:cs="Calibri"/>
        </w:rPr>
        <w:t xml:space="preserve">12.5% </w:t>
      </w:r>
      <w:r w:rsidRPr="00DD3777">
        <w:rPr>
          <w:rFonts w:ascii="Calibri" w:hAnsi="Calibri" w:cs="Calibri"/>
        </w:rPr>
        <w:t>at a cost of £170 million a year.</w:t>
      </w:r>
      <w:r w:rsidR="08D3641A" w:rsidRPr="00DD3777">
        <w:rPr>
          <w:rFonts w:ascii="Calibri" w:hAnsi="Calibri" w:cs="Calibri"/>
        </w:rPr>
        <w:t xml:space="preserve"> The pay award would have seen a starting teacher earn £31,650 and a teacher at the top of the upper pay scale receive £48,919</w:t>
      </w:r>
      <w:r w:rsidR="4482D314" w:rsidRPr="00DD3777">
        <w:rPr>
          <w:rFonts w:ascii="Calibri" w:hAnsi="Calibri" w:cs="Calibri"/>
        </w:rPr>
        <w:t>.</w:t>
      </w:r>
    </w:p>
    <w:p w14:paraId="3F9EE892" w14:textId="5C22C878" w:rsidR="003A1AB2" w:rsidRPr="00DD3777" w:rsidRDefault="003A1AB2" w:rsidP="00796E7B">
      <w:pPr>
        <w:spacing w:line="240" w:lineRule="auto"/>
        <w:rPr>
          <w:rFonts w:ascii="Calibri" w:hAnsi="Calibri" w:cs="Calibri"/>
        </w:rPr>
      </w:pPr>
      <w:r w:rsidRPr="00DD3777">
        <w:rPr>
          <w:rFonts w:ascii="Calibri" w:hAnsi="Calibri" w:cs="Calibri"/>
        </w:rPr>
        <w:t xml:space="preserve">The </w:t>
      </w:r>
      <w:r w:rsidR="00953FC5" w:rsidRPr="00DD3777">
        <w:rPr>
          <w:rFonts w:ascii="Calibri" w:hAnsi="Calibri" w:cs="Calibri"/>
        </w:rPr>
        <w:t xml:space="preserve">latest </w:t>
      </w:r>
      <w:r w:rsidRPr="00DD3777">
        <w:rPr>
          <w:rFonts w:ascii="Calibri" w:hAnsi="Calibri" w:cs="Calibri"/>
        </w:rPr>
        <w:t>p</w:t>
      </w:r>
      <w:r w:rsidR="00953FC5" w:rsidRPr="00DD3777">
        <w:rPr>
          <w:rFonts w:ascii="Calibri" w:hAnsi="Calibri" w:cs="Calibri"/>
        </w:rPr>
        <w:t>ay offer</w:t>
      </w:r>
      <w:r w:rsidR="00E52171" w:rsidRPr="00DD3777">
        <w:rPr>
          <w:rFonts w:ascii="Calibri" w:hAnsi="Calibri" w:cs="Calibri"/>
        </w:rPr>
        <w:t xml:space="preserve"> </w:t>
      </w:r>
      <w:r w:rsidRPr="00DD3777">
        <w:rPr>
          <w:rFonts w:ascii="Calibri" w:hAnsi="Calibri" w:cs="Calibri"/>
        </w:rPr>
        <w:t>followed intensive dialogue between Management Side and the NITC after the rejection of an initial offer in January</w:t>
      </w:r>
      <w:r w:rsidR="00485518" w:rsidRPr="00DD3777">
        <w:rPr>
          <w:rFonts w:ascii="Calibri" w:hAnsi="Calibri" w:cs="Calibri"/>
        </w:rPr>
        <w:t>.</w:t>
      </w:r>
    </w:p>
    <w:p w14:paraId="6DE26FCA" w14:textId="77777777" w:rsidR="00401631" w:rsidRPr="00DD3777" w:rsidRDefault="003A1AB2" w:rsidP="00796E7B">
      <w:pPr>
        <w:spacing w:line="240" w:lineRule="auto"/>
        <w:rPr>
          <w:rFonts w:ascii="Calibri" w:hAnsi="Calibri" w:cs="Calibri"/>
        </w:rPr>
      </w:pPr>
      <w:r w:rsidRPr="00DD3777">
        <w:rPr>
          <w:rFonts w:ascii="Calibri" w:hAnsi="Calibri" w:cs="Calibri"/>
        </w:rPr>
        <w:t xml:space="preserve">Robbie McGreevy, Vice Chair of Management Side, said: </w:t>
      </w:r>
    </w:p>
    <w:p w14:paraId="4E4CF697" w14:textId="17A346DE" w:rsidR="003A1AB2" w:rsidRPr="00DD3777" w:rsidRDefault="003A1AB2" w:rsidP="00796E7B">
      <w:pPr>
        <w:spacing w:line="240" w:lineRule="auto"/>
        <w:rPr>
          <w:rFonts w:ascii="Calibri" w:hAnsi="Calibri" w:cs="Calibri"/>
        </w:rPr>
      </w:pPr>
      <w:r w:rsidRPr="00DD3777">
        <w:rPr>
          <w:rFonts w:ascii="Calibri" w:hAnsi="Calibri" w:cs="Calibri"/>
        </w:rPr>
        <w:t>"We are extremely disappointed that despite present</w:t>
      </w:r>
      <w:r w:rsidR="00019641" w:rsidRPr="00DD3777">
        <w:rPr>
          <w:rFonts w:ascii="Calibri" w:hAnsi="Calibri" w:cs="Calibri"/>
        </w:rPr>
        <w:t xml:space="preserve">ing </w:t>
      </w:r>
      <w:r w:rsidRPr="00DD3777">
        <w:rPr>
          <w:rFonts w:ascii="Calibri" w:hAnsi="Calibri" w:cs="Calibri"/>
        </w:rPr>
        <w:t>a fair and comprehensive package</w:t>
      </w:r>
      <w:r w:rsidR="2EC285B1" w:rsidRPr="00DD3777">
        <w:rPr>
          <w:rFonts w:ascii="Calibri" w:hAnsi="Calibri" w:cs="Calibri"/>
        </w:rPr>
        <w:t>, and respond</w:t>
      </w:r>
      <w:r w:rsidR="582F09EB" w:rsidRPr="00DD3777">
        <w:rPr>
          <w:rFonts w:ascii="Calibri" w:hAnsi="Calibri" w:cs="Calibri"/>
        </w:rPr>
        <w:t>ing</w:t>
      </w:r>
      <w:r w:rsidR="2EC285B1" w:rsidRPr="00DD3777">
        <w:rPr>
          <w:rFonts w:ascii="Calibri" w:hAnsi="Calibri" w:cs="Calibri"/>
        </w:rPr>
        <w:t xml:space="preserve"> to the issues raised by Trade Unions during the negotiations</w:t>
      </w:r>
      <w:r w:rsidRPr="00DD3777">
        <w:rPr>
          <w:rFonts w:ascii="Calibri" w:hAnsi="Calibri" w:cs="Calibri"/>
        </w:rPr>
        <w:t xml:space="preserve">, the NITC has </w:t>
      </w:r>
      <w:r w:rsidR="7EFF9860" w:rsidRPr="00DD3777">
        <w:rPr>
          <w:rFonts w:ascii="Calibri" w:hAnsi="Calibri" w:cs="Calibri"/>
        </w:rPr>
        <w:t xml:space="preserve">rejected </w:t>
      </w:r>
      <w:r w:rsidRPr="00DD3777">
        <w:rPr>
          <w:rFonts w:ascii="Calibri" w:hAnsi="Calibri" w:cs="Calibri"/>
        </w:rPr>
        <w:t>this offer. This means not only will the substantial pay increase for teachers not be progressed, but our joint commitment to address workload concerns through 25 agreed measures also cannot move forward.</w:t>
      </w:r>
      <w:r w:rsidR="35E610D4" w:rsidRPr="00DD3777">
        <w:rPr>
          <w:rFonts w:ascii="Calibri" w:hAnsi="Calibri" w:cs="Calibri"/>
        </w:rPr>
        <w:t>"</w:t>
      </w:r>
    </w:p>
    <w:p w14:paraId="799CD89E" w14:textId="6A4FEDD4" w:rsidR="003A1AB2" w:rsidRPr="00DD3777" w:rsidRDefault="003A1AB2" w:rsidP="00796E7B">
      <w:pPr>
        <w:spacing w:line="240" w:lineRule="auto"/>
        <w:rPr>
          <w:rFonts w:ascii="Calibri" w:hAnsi="Calibri" w:cs="Calibri"/>
        </w:rPr>
      </w:pPr>
      <w:r w:rsidRPr="00DD3777">
        <w:rPr>
          <w:rFonts w:ascii="Calibri" w:hAnsi="Calibri" w:cs="Calibri"/>
        </w:rPr>
        <w:t>"Our primary concern is ensuring pupils can learn in an environment free from disruption</w:t>
      </w:r>
      <w:r w:rsidR="317B61D6" w:rsidRPr="00DD3777">
        <w:rPr>
          <w:rFonts w:ascii="Calibri" w:hAnsi="Calibri" w:cs="Calibri"/>
        </w:rPr>
        <w:t xml:space="preserve"> and teachers receive fair pay</w:t>
      </w:r>
      <w:r w:rsidRPr="00DD3777">
        <w:rPr>
          <w:rFonts w:ascii="Calibri" w:hAnsi="Calibri" w:cs="Calibri"/>
        </w:rPr>
        <w:t>. The offer was made at the absolute limits of affordability,</w:t>
      </w:r>
      <w:r w:rsidR="00890A64" w:rsidRPr="00DD3777">
        <w:rPr>
          <w:rFonts w:ascii="Calibri" w:hAnsi="Calibri" w:cs="Calibri"/>
        </w:rPr>
        <w:t xml:space="preserve"> against an extremely cha</w:t>
      </w:r>
      <w:r w:rsidR="00A757A5" w:rsidRPr="00DD3777">
        <w:rPr>
          <w:rFonts w:ascii="Calibri" w:hAnsi="Calibri" w:cs="Calibri"/>
        </w:rPr>
        <w:t>llenging financial background</w:t>
      </w:r>
      <w:r w:rsidR="26A031B2" w:rsidRPr="00DD3777">
        <w:rPr>
          <w:rFonts w:ascii="Calibri" w:hAnsi="Calibri" w:cs="Calibri"/>
        </w:rPr>
        <w:t>, and is comparable to pay offers accepted by other public sector workers and teachers elsewhere</w:t>
      </w:r>
      <w:r w:rsidR="00A757A5" w:rsidRPr="00DD3777">
        <w:rPr>
          <w:rFonts w:ascii="Calibri" w:hAnsi="Calibri" w:cs="Calibri"/>
        </w:rPr>
        <w:t>.</w:t>
      </w:r>
      <w:r w:rsidR="000079AE" w:rsidRPr="00DD3777">
        <w:rPr>
          <w:rFonts w:ascii="Calibri" w:hAnsi="Calibri" w:cs="Calibri"/>
        </w:rPr>
        <w:t xml:space="preserve"> C</w:t>
      </w:r>
      <w:r w:rsidR="00880122" w:rsidRPr="00DD3777">
        <w:rPr>
          <w:rFonts w:ascii="Calibri" w:hAnsi="Calibri" w:cs="Calibri"/>
        </w:rPr>
        <w:t xml:space="preserve">ontinued </w:t>
      </w:r>
      <w:r w:rsidRPr="00DD3777">
        <w:rPr>
          <w:rFonts w:ascii="Calibri" w:hAnsi="Calibri" w:cs="Calibri"/>
        </w:rPr>
        <w:t>industrial action will inevitably have serious implications for children's education."</w:t>
      </w:r>
    </w:p>
    <w:p w14:paraId="774840E5" w14:textId="77777777" w:rsidR="0030527D" w:rsidRDefault="003A1AB2" w:rsidP="00796E7B">
      <w:pPr>
        <w:spacing w:line="240" w:lineRule="auto"/>
        <w:rPr>
          <w:rFonts w:ascii="Calibri" w:hAnsi="Calibri" w:cs="Calibri"/>
        </w:rPr>
      </w:pPr>
      <w:r w:rsidRPr="00DD3777">
        <w:rPr>
          <w:rFonts w:ascii="Calibri" w:hAnsi="Calibri" w:cs="Calibri"/>
        </w:rPr>
        <w:t xml:space="preserve">Management Side has urged the NITC to suspend industrial action </w:t>
      </w:r>
      <w:r w:rsidR="10E0AFEA" w:rsidRPr="00DD3777">
        <w:rPr>
          <w:rFonts w:ascii="Calibri" w:hAnsi="Calibri" w:cs="Calibri"/>
        </w:rPr>
        <w:t xml:space="preserve">and to outline how this dispute can be </w:t>
      </w:r>
      <w:proofErr w:type="gramStart"/>
      <w:r w:rsidR="10E0AFEA" w:rsidRPr="00DD3777">
        <w:rPr>
          <w:rFonts w:ascii="Calibri" w:hAnsi="Calibri" w:cs="Calibri"/>
        </w:rPr>
        <w:t>brought to an end</w:t>
      </w:r>
      <w:proofErr w:type="gramEnd"/>
      <w:r w:rsidRPr="00DD3777">
        <w:rPr>
          <w:rFonts w:ascii="Calibri" w:hAnsi="Calibri" w:cs="Calibri"/>
        </w:rPr>
        <w:t xml:space="preserve">. </w:t>
      </w:r>
    </w:p>
    <w:p w14:paraId="112F1678" w14:textId="74CABFCD" w:rsidR="003A1AB2" w:rsidRPr="00DD3777" w:rsidRDefault="00ED665E" w:rsidP="00796E7B">
      <w:pPr>
        <w:spacing w:line="240" w:lineRule="auto"/>
        <w:rPr>
          <w:rFonts w:ascii="Calibri" w:hAnsi="Calibri" w:cs="Calibri"/>
        </w:rPr>
      </w:pPr>
      <w:r>
        <w:rPr>
          <w:rFonts w:ascii="Calibri" w:hAnsi="Calibri" w:cs="Calibri"/>
        </w:rPr>
        <w:t xml:space="preserve">Mr McGreevy added; </w:t>
      </w:r>
      <w:r w:rsidR="003A1AB2" w:rsidRPr="00DD3777">
        <w:rPr>
          <w:rFonts w:ascii="Calibri" w:hAnsi="Calibri" w:cs="Calibri"/>
        </w:rPr>
        <w:t>"We cannot accept a situation where teachers are not fulfilling their full contractual duties. Industrial action should</w:t>
      </w:r>
      <w:r w:rsidR="38F6A0DA" w:rsidRPr="00DD3777">
        <w:rPr>
          <w:rFonts w:ascii="Calibri" w:hAnsi="Calibri" w:cs="Calibri"/>
        </w:rPr>
        <w:t xml:space="preserve"> not become common practice and</w:t>
      </w:r>
      <w:r w:rsidR="003A1AB2" w:rsidRPr="00DD3777">
        <w:rPr>
          <w:rFonts w:ascii="Calibri" w:hAnsi="Calibri" w:cs="Calibri"/>
        </w:rPr>
        <w:t xml:space="preserve"> only ever be a last resort</w:t>
      </w:r>
      <w:r>
        <w:rPr>
          <w:rFonts w:ascii="Calibri" w:hAnsi="Calibri" w:cs="Calibri"/>
        </w:rPr>
        <w:t>.</w:t>
      </w:r>
    </w:p>
    <w:p w14:paraId="567DB0D1" w14:textId="77777777" w:rsidR="003A1AB2" w:rsidRPr="00DD3777" w:rsidRDefault="003A1AB2" w:rsidP="00796E7B">
      <w:pPr>
        <w:spacing w:line="240" w:lineRule="auto"/>
        <w:rPr>
          <w:rFonts w:ascii="Calibri" w:hAnsi="Calibri" w:cs="Calibri"/>
        </w:rPr>
      </w:pPr>
      <w:r w:rsidRPr="00DD3777">
        <w:rPr>
          <w:rFonts w:ascii="Calibri" w:hAnsi="Calibri" w:cs="Calibri"/>
        </w:rPr>
        <w:t>"Action Short of Strike has disrupted our education system for nearly a decade, making Northern Ireland the only UK jurisdiction without proper assessment and inspection systems. This has severely impacted our ability to gather data on school performance and has restricted vital aspects of school life including parent communications, extra-curricular activities, and staff development."</w:t>
      </w:r>
    </w:p>
    <w:p w14:paraId="40187B29" w14:textId="77777777" w:rsidR="00796E7B" w:rsidRPr="00DD3777" w:rsidRDefault="003A1AB2" w:rsidP="00796E7B">
      <w:pPr>
        <w:spacing w:line="240" w:lineRule="auto"/>
        <w:rPr>
          <w:rFonts w:ascii="Calibri" w:hAnsi="Calibri" w:cs="Calibri"/>
        </w:rPr>
      </w:pPr>
      <w:r w:rsidRPr="00DD3777">
        <w:rPr>
          <w:rFonts w:ascii="Calibri" w:hAnsi="Calibri" w:cs="Calibri"/>
        </w:rPr>
        <w:t>Management Side will meet urgently to consider next steps following this rejection.</w:t>
      </w:r>
    </w:p>
    <w:p w14:paraId="58955717" w14:textId="72B5B61D" w:rsidR="003A1AB2" w:rsidRPr="00DD3777" w:rsidRDefault="003A1AB2" w:rsidP="00796E7B">
      <w:pPr>
        <w:spacing w:line="240" w:lineRule="auto"/>
        <w:rPr>
          <w:rFonts w:ascii="Calibri" w:hAnsi="Calibri" w:cs="Calibri"/>
        </w:rPr>
      </w:pPr>
      <w:r w:rsidRPr="00DD3777">
        <w:rPr>
          <w:rFonts w:ascii="Calibri" w:hAnsi="Calibri" w:cs="Calibri"/>
          <w:b/>
          <w:bCs/>
        </w:rPr>
        <w:t>ENDS</w:t>
      </w:r>
    </w:p>
    <w:p w14:paraId="1AB33021" w14:textId="77777777" w:rsidR="008F298A" w:rsidRPr="00DD3777" w:rsidRDefault="008F298A" w:rsidP="00796E7B">
      <w:pPr>
        <w:spacing w:line="240" w:lineRule="auto"/>
        <w:rPr>
          <w:rFonts w:ascii="Calibri" w:hAnsi="Calibri" w:cs="Calibri"/>
          <w:b/>
          <w:bCs/>
        </w:rPr>
      </w:pPr>
    </w:p>
    <w:p w14:paraId="3345604A" w14:textId="11A9BD64" w:rsidR="440FF1B4" w:rsidRPr="00DD3777" w:rsidRDefault="440FF1B4" w:rsidP="00796E7B">
      <w:pPr>
        <w:spacing w:line="240" w:lineRule="auto"/>
        <w:rPr>
          <w:rFonts w:ascii="Calibri" w:hAnsi="Calibri" w:cs="Calibri"/>
          <w:b/>
          <w:bCs/>
        </w:rPr>
      </w:pPr>
    </w:p>
    <w:p w14:paraId="6AF6778E" w14:textId="77BC6984" w:rsidR="00796E7B" w:rsidRPr="00DD3777" w:rsidRDefault="002322F1" w:rsidP="00796E7B">
      <w:pPr>
        <w:spacing w:after="0" w:line="240" w:lineRule="auto"/>
        <w:contextualSpacing/>
        <w:rPr>
          <w:rFonts w:ascii="Calibri" w:hAnsi="Calibri" w:cs="Calibri"/>
          <w:b/>
          <w:bCs/>
        </w:rPr>
      </w:pPr>
      <w:r w:rsidRPr="00DD3777">
        <w:rPr>
          <w:rFonts w:ascii="Calibri" w:hAnsi="Calibri" w:cs="Calibri"/>
          <w:b/>
          <w:bCs/>
        </w:rPr>
        <w:t>NOTES TO EDITORS</w:t>
      </w:r>
    </w:p>
    <w:p w14:paraId="7A3D7540" w14:textId="77777777" w:rsidR="00796E7B" w:rsidRPr="00DD3777" w:rsidRDefault="00796E7B" w:rsidP="00796E7B">
      <w:pPr>
        <w:spacing w:after="0" w:line="240" w:lineRule="auto"/>
        <w:contextualSpacing/>
        <w:rPr>
          <w:rFonts w:ascii="Calibri" w:hAnsi="Calibri" w:cs="Calibri"/>
          <w:b/>
          <w:bCs/>
        </w:rPr>
      </w:pPr>
    </w:p>
    <w:p w14:paraId="3B681789" w14:textId="4FEA514E" w:rsidR="0098680D" w:rsidRPr="00DD3777" w:rsidRDefault="0098680D" w:rsidP="00796E7B">
      <w:pPr>
        <w:pStyle w:val="ListParagraph"/>
        <w:numPr>
          <w:ilvl w:val="0"/>
          <w:numId w:val="5"/>
        </w:numPr>
        <w:spacing w:after="0" w:line="240" w:lineRule="auto"/>
        <w:rPr>
          <w:rFonts w:ascii="Calibri" w:hAnsi="Calibri" w:cs="Calibri"/>
          <w:b/>
          <w:bCs/>
        </w:rPr>
      </w:pPr>
      <w:r w:rsidRPr="00DD3777">
        <w:rPr>
          <w:rFonts w:ascii="Calibri" w:hAnsi="Calibri" w:cs="Calibri"/>
          <w:b/>
          <w:bCs/>
        </w:rPr>
        <w:t>Teachers</w:t>
      </w:r>
      <w:r w:rsidR="00212AAF" w:rsidRPr="00DD3777">
        <w:rPr>
          <w:rFonts w:ascii="Calibri" w:hAnsi="Calibri" w:cs="Calibri"/>
          <w:b/>
          <w:bCs/>
        </w:rPr>
        <w:t>’</w:t>
      </w:r>
      <w:r w:rsidRPr="00DD3777">
        <w:rPr>
          <w:rFonts w:ascii="Calibri" w:hAnsi="Calibri" w:cs="Calibri"/>
          <w:b/>
          <w:bCs/>
        </w:rPr>
        <w:t xml:space="preserve"> Negotiating Committee</w:t>
      </w:r>
    </w:p>
    <w:p w14:paraId="235BC860" w14:textId="77777777" w:rsidR="0098680D" w:rsidRPr="00DD3777" w:rsidRDefault="0098680D" w:rsidP="00796E7B">
      <w:pPr>
        <w:spacing w:after="0" w:line="240" w:lineRule="auto"/>
        <w:contextualSpacing/>
        <w:rPr>
          <w:rFonts w:ascii="Calibri" w:hAnsi="Calibri" w:cs="Calibri"/>
          <w:b/>
          <w:bCs/>
        </w:rPr>
      </w:pPr>
    </w:p>
    <w:p w14:paraId="1322CA0B" w14:textId="77777777" w:rsidR="0098680D" w:rsidRPr="00DD3777" w:rsidRDefault="0098680D" w:rsidP="00796E7B">
      <w:pPr>
        <w:pStyle w:val="ListParagraph"/>
        <w:numPr>
          <w:ilvl w:val="0"/>
          <w:numId w:val="3"/>
        </w:numPr>
        <w:spacing w:after="0" w:line="240" w:lineRule="auto"/>
        <w:rPr>
          <w:rFonts w:ascii="Calibri" w:hAnsi="Calibri" w:cs="Calibri"/>
        </w:rPr>
      </w:pPr>
      <w:r w:rsidRPr="00DD3777">
        <w:rPr>
          <w:rFonts w:ascii="Calibri" w:hAnsi="Calibri" w:cs="Calibri"/>
        </w:rPr>
        <w:t>The Teachers’ Negotiating Committee (TNC) is comprised of Management Side and the Northern Ireland Teachers’ Council (NITC).</w:t>
      </w:r>
    </w:p>
    <w:p w14:paraId="38ADC031" w14:textId="77777777" w:rsidR="0098680D" w:rsidRPr="00DD3777" w:rsidRDefault="0098680D" w:rsidP="00796E7B">
      <w:pPr>
        <w:pStyle w:val="ListParagraph"/>
        <w:numPr>
          <w:ilvl w:val="0"/>
          <w:numId w:val="3"/>
        </w:numPr>
        <w:spacing w:after="0" w:line="240" w:lineRule="auto"/>
        <w:rPr>
          <w:rFonts w:ascii="Calibri" w:hAnsi="Calibri" w:cs="Calibri"/>
        </w:rPr>
      </w:pPr>
      <w:r w:rsidRPr="00DD3777">
        <w:rPr>
          <w:rFonts w:ascii="Calibri" w:hAnsi="Calibri" w:cs="Calibri"/>
        </w:rPr>
        <w:t>Management Side is made up of employing authorities (CCMS, Education Authority), sectoral bodies (GBA, NICIE, CnaG) and the Department of Education (DE).</w:t>
      </w:r>
    </w:p>
    <w:p w14:paraId="7CB2FA7A" w14:textId="77777777" w:rsidR="0098680D" w:rsidRPr="00DD3777" w:rsidRDefault="0098680D" w:rsidP="00796E7B">
      <w:pPr>
        <w:pStyle w:val="ListParagraph"/>
        <w:numPr>
          <w:ilvl w:val="0"/>
          <w:numId w:val="3"/>
        </w:numPr>
        <w:spacing w:after="0" w:line="240" w:lineRule="auto"/>
        <w:rPr>
          <w:rFonts w:ascii="Calibri" w:hAnsi="Calibri" w:cs="Calibri"/>
        </w:rPr>
      </w:pPr>
      <w:r w:rsidRPr="00DD3777">
        <w:rPr>
          <w:rFonts w:ascii="Calibri" w:hAnsi="Calibri" w:cs="Calibri"/>
        </w:rPr>
        <w:t>The NITC (Northern Ireland Teachers’ Council) comprises the five recognised teaching trade unions (INTO, NAHT(NI), NASUWT, NEU and UTU).</w:t>
      </w:r>
    </w:p>
    <w:p w14:paraId="3D1D2CB7" w14:textId="77777777" w:rsidR="0098680D" w:rsidRPr="00DD3777" w:rsidRDefault="0098680D" w:rsidP="00796E7B">
      <w:pPr>
        <w:spacing w:after="0" w:line="240" w:lineRule="auto"/>
        <w:contextualSpacing/>
        <w:rPr>
          <w:rFonts w:ascii="Calibri" w:hAnsi="Calibri" w:cs="Calibri"/>
        </w:rPr>
      </w:pPr>
    </w:p>
    <w:p w14:paraId="63B3A1D6" w14:textId="77777777" w:rsidR="0098680D" w:rsidRPr="00DD3777" w:rsidRDefault="0098680D" w:rsidP="00796E7B">
      <w:pPr>
        <w:pStyle w:val="ListParagraph"/>
        <w:numPr>
          <w:ilvl w:val="0"/>
          <w:numId w:val="5"/>
        </w:numPr>
        <w:spacing w:after="0" w:line="240" w:lineRule="auto"/>
        <w:rPr>
          <w:rFonts w:ascii="Calibri" w:hAnsi="Calibri" w:cs="Calibri"/>
          <w:b/>
          <w:bCs/>
        </w:rPr>
      </w:pPr>
      <w:r w:rsidRPr="00DD3777">
        <w:rPr>
          <w:rFonts w:ascii="Calibri" w:hAnsi="Calibri" w:cs="Calibri"/>
          <w:b/>
          <w:bCs/>
        </w:rPr>
        <w:t>Pay Offer</w:t>
      </w:r>
    </w:p>
    <w:p w14:paraId="3DAAD0AF" w14:textId="77777777" w:rsidR="0098680D" w:rsidRPr="00DD3777" w:rsidRDefault="0098680D" w:rsidP="00796E7B">
      <w:pPr>
        <w:spacing w:after="0" w:line="240" w:lineRule="auto"/>
        <w:ind w:left="720"/>
        <w:contextualSpacing/>
        <w:rPr>
          <w:rFonts w:ascii="Calibri" w:hAnsi="Calibri" w:cs="Calibri"/>
        </w:rPr>
      </w:pPr>
    </w:p>
    <w:p w14:paraId="67BB96EF" w14:textId="18C1EBF6" w:rsidR="009769C4" w:rsidRDefault="00691722" w:rsidP="00796E7B">
      <w:pPr>
        <w:pStyle w:val="ListParagraph"/>
        <w:numPr>
          <w:ilvl w:val="0"/>
          <w:numId w:val="3"/>
        </w:numPr>
        <w:spacing w:after="0" w:line="240" w:lineRule="auto"/>
        <w:rPr>
          <w:rFonts w:ascii="Calibri" w:hAnsi="Calibri" w:cs="Calibri"/>
        </w:rPr>
      </w:pPr>
      <w:r w:rsidRPr="00C059E7">
        <w:rPr>
          <w:rFonts w:ascii="Calibri" w:hAnsi="Calibri" w:cs="Calibri"/>
          <w:b/>
          <w:bCs/>
        </w:rPr>
        <w:t>*</w:t>
      </w:r>
      <w:r w:rsidR="00F029C6">
        <w:rPr>
          <w:rFonts w:ascii="Calibri" w:hAnsi="Calibri" w:cs="Calibri"/>
        </w:rPr>
        <w:t>The 5.5% cos</w:t>
      </w:r>
      <w:r w:rsidR="00C059E7">
        <w:rPr>
          <w:rFonts w:ascii="Calibri" w:hAnsi="Calibri" w:cs="Calibri"/>
        </w:rPr>
        <w:t>t of living pay award is above inflation</w:t>
      </w:r>
      <w:r>
        <w:rPr>
          <w:rFonts w:ascii="Calibri" w:hAnsi="Calibri" w:cs="Calibri"/>
        </w:rPr>
        <w:t xml:space="preserve"> </w:t>
      </w:r>
      <w:r w:rsidR="006735D2">
        <w:rPr>
          <w:rFonts w:ascii="Calibri" w:hAnsi="Calibri" w:cs="Calibri"/>
        </w:rPr>
        <w:t>(current rate of inflation is 2.7%</w:t>
      </w:r>
      <w:r>
        <w:rPr>
          <w:rFonts w:ascii="Calibri" w:hAnsi="Calibri" w:cs="Calibri"/>
        </w:rPr>
        <w:t>).</w:t>
      </w:r>
      <w:r w:rsidR="00631FBC">
        <w:rPr>
          <w:rFonts w:ascii="Calibri" w:hAnsi="Calibri" w:cs="Calibri"/>
        </w:rPr>
        <w:t xml:space="preserve"> </w:t>
      </w:r>
    </w:p>
    <w:p w14:paraId="1BF07B5A" w14:textId="42AC5166" w:rsidR="00CD60BA" w:rsidRPr="00DD3777" w:rsidRDefault="00CD60BA" w:rsidP="00796E7B">
      <w:pPr>
        <w:pStyle w:val="ListParagraph"/>
        <w:numPr>
          <w:ilvl w:val="0"/>
          <w:numId w:val="3"/>
        </w:numPr>
        <w:spacing w:after="0" w:line="240" w:lineRule="auto"/>
        <w:rPr>
          <w:rFonts w:ascii="Calibri" w:hAnsi="Calibri" w:cs="Calibri"/>
        </w:rPr>
      </w:pPr>
      <w:r w:rsidRPr="00DD3777">
        <w:rPr>
          <w:rFonts w:ascii="Calibri" w:hAnsi="Calibri" w:cs="Calibri"/>
        </w:rPr>
        <w:t xml:space="preserve">The full offer is available at </w:t>
      </w:r>
      <w:hyperlink r:id="rId10" w:history="1">
        <w:r w:rsidRPr="00DD3777">
          <w:rPr>
            <w:rStyle w:val="Hyperlink"/>
            <w:rFonts w:ascii="Calibri" w:hAnsi="Calibri" w:cs="Calibri"/>
          </w:rPr>
          <w:t>https://www.education-ni.gov.uk/news/revised-20242025-teachers-pay-offer</w:t>
        </w:r>
      </w:hyperlink>
    </w:p>
    <w:p w14:paraId="593577AF" w14:textId="1056658F" w:rsidR="00CD60BA" w:rsidRPr="00DD3777" w:rsidRDefault="0098680D" w:rsidP="00796E7B">
      <w:pPr>
        <w:pStyle w:val="ListParagraph"/>
        <w:numPr>
          <w:ilvl w:val="0"/>
          <w:numId w:val="3"/>
        </w:numPr>
        <w:spacing w:after="0" w:line="240" w:lineRule="auto"/>
        <w:rPr>
          <w:rFonts w:ascii="Calibri" w:hAnsi="Calibri" w:cs="Calibri"/>
        </w:rPr>
      </w:pPr>
      <w:r w:rsidRPr="00DD3777">
        <w:rPr>
          <w:rFonts w:ascii="Calibri" w:hAnsi="Calibri" w:cs="Calibri"/>
        </w:rPr>
        <w:t>Under this offer the starting salary for teachers would rise to £31,650, backdated to 1 September 2024, while a full-time teacher on Upper Pay Scale Point 3 would receive £1,913.25 in back pay (before statutory deductions) for the period from 1 September 2024 to 31 May 2025.</w:t>
      </w:r>
    </w:p>
    <w:p w14:paraId="6FEE716C" w14:textId="77777777" w:rsidR="00E52171" w:rsidRPr="00294F8E" w:rsidRDefault="00E52171" w:rsidP="00294F8E">
      <w:pPr>
        <w:spacing w:after="0" w:line="240" w:lineRule="auto"/>
        <w:rPr>
          <w:rFonts w:ascii="Calibri" w:hAnsi="Calibri" w:cs="Calibri"/>
        </w:rPr>
      </w:pPr>
    </w:p>
    <w:p w14:paraId="4A683A14" w14:textId="6CF3D559" w:rsidR="0098680D" w:rsidRPr="00DD3777" w:rsidRDefault="0098680D" w:rsidP="00796E7B">
      <w:pPr>
        <w:pStyle w:val="ListParagraph"/>
        <w:numPr>
          <w:ilvl w:val="0"/>
          <w:numId w:val="5"/>
        </w:numPr>
        <w:spacing w:after="0" w:line="240" w:lineRule="auto"/>
        <w:rPr>
          <w:rFonts w:ascii="Calibri" w:hAnsi="Calibri" w:cs="Calibri"/>
          <w:b/>
          <w:bCs/>
        </w:rPr>
      </w:pPr>
      <w:r w:rsidRPr="00DD3777">
        <w:rPr>
          <w:rFonts w:ascii="Calibri" w:hAnsi="Calibri" w:cs="Calibri"/>
          <w:b/>
          <w:bCs/>
        </w:rPr>
        <w:t xml:space="preserve">Further Information </w:t>
      </w:r>
    </w:p>
    <w:p w14:paraId="1B88FA18" w14:textId="77777777" w:rsidR="0098680D" w:rsidRPr="00DD3777" w:rsidRDefault="0098680D" w:rsidP="00796E7B">
      <w:pPr>
        <w:pStyle w:val="ListParagraph"/>
        <w:numPr>
          <w:ilvl w:val="0"/>
          <w:numId w:val="7"/>
        </w:numPr>
        <w:spacing w:after="0" w:line="240" w:lineRule="auto"/>
        <w:rPr>
          <w:rFonts w:ascii="Calibri" w:hAnsi="Calibri" w:cs="Calibri"/>
        </w:rPr>
      </w:pPr>
      <w:r w:rsidRPr="00DD3777">
        <w:rPr>
          <w:rFonts w:ascii="Calibri" w:hAnsi="Calibri" w:cs="Calibri"/>
        </w:rPr>
        <w:t xml:space="preserve">For further information, please contact: </w:t>
      </w:r>
      <w:hyperlink r:id="rId11" w:history="1">
        <w:r w:rsidRPr="00DD3777">
          <w:rPr>
            <w:rStyle w:val="Hyperlink"/>
            <w:rFonts w:ascii="Calibri" w:hAnsi="Calibri" w:cs="Calibri"/>
          </w:rPr>
          <w:t>press@eani.org.uk</w:t>
        </w:r>
      </w:hyperlink>
    </w:p>
    <w:p w14:paraId="27618838" w14:textId="77777777" w:rsidR="0098680D" w:rsidRPr="00DD3777" w:rsidRDefault="0098680D" w:rsidP="00796E7B">
      <w:pPr>
        <w:spacing w:after="0" w:line="240" w:lineRule="auto"/>
        <w:contextualSpacing/>
        <w:rPr>
          <w:rFonts w:ascii="Calibri" w:hAnsi="Calibri" w:cs="Calibri"/>
        </w:rPr>
      </w:pPr>
    </w:p>
    <w:p w14:paraId="452B77F6" w14:textId="77777777" w:rsidR="00CD3EC5" w:rsidRDefault="00CD3EC5" w:rsidP="00292F78"/>
    <w:sectPr w:rsidR="00CD3EC5">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88338" w14:textId="77777777" w:rsidR="00BD382A" w:rsidRDefault="00BD382A" w:rsidP="00EC428F">
      <w:pPr>
        <w:spacing w:after="0" w:line="240" w:lineRule="auto"/>
      </w:pPr>
      <w:r>
        <w:separator/>
      </w:r>
    </w:p>
  </w:endnote>
  <w:endnote w:type="continuationSeparator" w:id="0">
    <w:p w14:paraId="5701339B" w14:textId="77777777" w:rsidR="00BD382A" w:rsidRDefault="00BD382A" w:rsidP="00EC4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482B6" w14:textId="77777777" w:rsidR="00BD382A" w:rsidRDefault="00BD382A" w:rsidP="00EC428F">
      <w:pPr>
        <w:spacing w:after="0" w:line="240" w:lineRule="auto"/>
      </w:pPr>
      <w:r>
        <w:separator/>
      </w:r>
    </w:p>
  </w:footnote>
  <w:footnote w:type="continuationSeparator" w:id="0">
    <w:p w14:paraId="6CF8E835" w14:textId="77777777" w:rsidR="00BD382A" w:rsidRDefault="00BD382A" w:rsidP="00EC4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E276F" w14:textId="5C7ADCD0" w:rsidR="00EC428F" w:rsidRDefault="00EC428F" w:rsidP="00EC428F">
    <w:pPr>
      <w:pStyle w:val="Footer"/>
      <w:tabs>
        <w:tab w:val="clear" w:pos="4513"/>
        <w:tab w:val="clear" w:pos="9026"/>
        <w:tab w:val="left" w:pos="5715"/>
      </w:tabs>
      <w:rPr>
        <w:noProof/>
        <w:lang w:eastAsia="en-GB"/>
      </w:rPr>
    </w:pPr>
    <w:r>
      <w:rPr>
        <w:noProof/>
      </w:rPr>
      <w:drawing>
        <wp:anchor distT="152400" distB="152400" distL="152400" distR="152400" simplePos="0" relativeHeight="251660288" behindDoc="1" locked="0" layoutInCell="1" allowOverlap="1" wp14:anchorId="484DD6E2" wp14:editId="6D397C15">
          <wp:simplePos x="0" y="0"/>
          <wp:positionH relativeFrom="margin">
            <wp:posOffset>2927350</wp:posOffset>
          </wp:positionH>
          <wp:positionV relativeFrom="page">
            <wp:posOffset>457200</wp:posOffset>
          </wp:positionV>
          <wp:extent cx="762000" cy="838200"/>
          <wp:effectExtent l="0" t="0" r="0" b="0"/>
          <wp:wrapNone/>
          <wp:docPr id="328907653" name="Picture 328907653" descr="A logo for a department of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logo for a department of edu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62336" behindDoc="1" locked="0" layoutInCell="1" allowOverlap="1" wp14:anchorId="515A259E" wp14:editId="0A61FF22">
          <wp:simplePos x="0" y="0"/>
          <wp:positionH relativeFrom="margin">
            <wp:posOffset>5302885</wp:posOffset>
          </wp:positionH>
          <wp:positionV relativeFrom="page">
            <wp:posOffset>621030</wp:posOffset>
          </wp:positionV>
          <wp:extent cx="716280" cy="470535"/>
          <wp:effectExtent l="0" t="0" r="0" b="0"/>
          <wp:wrapNone/>
          <wp:docPr id="164291035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28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6C8581EE" wp14:editId="58D68BB5">
          <wp:simplePos x="0" y="0"/>
          <wp:positionH relativeFrom="column">
            <wp:posOffset>1937203</wp:posOffset>
          </wp:positionH>
          <wp:positionV relativeFrom="page">
            <wp:posOffset>457200</wp:posOffset>
          </wp:positionV>
          <wp:extent cx="727627" cy="685800"/>
          <wp:effectExtent l="0" t="0" r="0" b="0"/>
          <wp:wrapNone/>
          <wp:docPr id="297993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7627" cy="6858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0" allowOverlap="0" wp14:anchorId="39BA8F86" wp14:editId="4520C951">
          <wp:simplePos x="0" y="0"/>
          <wp:positionH relativeFrom="column">
            <wp:posOffset>738777</wp:posOffset>
          </wp:positionH>
          <wp:positionV relativeFrom="page">
            <wp:posOffset>589280</wp:posOffset>
          </wp:positionV>
          <wp:extent cx="974090" cy="535305"/>
          <wp:effectExtent l="0" t="0" r="0" b="0"/>
          <wp:wrapNone/>
          <wp:docPr id="28939689"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and white logo&#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74090" cy="535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59264" behindDoc="1" locked="0" layoutInCell="1" allowOverlap="1" wp14:anchorId="15D806C3" wp14:editId="1B88349E">
          <wp:simplePos x="0" y="0"/>
          <wp:positionH relativeFrom="margin">
            <wp:posOffset>-423001</wp:posOffset>
          </wp:positionH>
          <wp:positionV relativeFrom="page">
            <wp:posOffset>393791</wp:posOffset>
          </wp:positionV>
          <wp:extent cx="1090930" cy="958850"/>
          <wp:effectExtent l="0" t="0" r="0" b="0"/>
          <wp:wrapNone/>
          <wp:docPr id="2036369712" name="officeArt object" descr="A logo with a circl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A logo with a circle an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0930" cy="958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tab/>
    </w:r>
  </w:p>
  <w:p w14:paraId="11EBC969" w14:textId="77777777" w:rsidR="00EC428F" w:rsidRDefault="00EC428F" w:rsidP="00EC428F">
    <w:pPr>
      <w:pStyle w:val="Footer"/>
      <w:tabs>
        <w:tab w:val="clear" w:pos="4513"/>
        <w:tab w:val="clear" w:pos="9026"/>
        <w:tab w:val="left" w:pos="5715"/>
      </w:tabs>
      <w:rPr>
        <w:noProof/>
        <w:lang w:eastAsia="en-GB"/>
      </w:rPr>
    </w:pPr>
    <w:r>
      <w:rPr>
        <w:noProof/>
      </w:rPr>
      <w:drawing>
        <wp:anchor distT="152400" distB="152400" distL="152400" distR="152400" simplePos="0" relativeHeight="251661312" behindDoc="1" locked="0" layoutInCell="1" allowOverlap="1" wp14:anchorId="535759B4" wp14:editId="59193318">
          <wp:simplePos x="0" y="0"/>
          <wp:positionH relativeFrom="margin">
            <wp:posOffset>3949427</wp:posOffset>
          </wp:positionH>
          <wp:positionV relativeFrom="topMargin">
            <wp:posOffset>627380</wp:posOffset>
          </wp:positionV>
          <wp:extent cx="1130935" cy="311785"/>
          <wp:effectExtent l="0" t="0" r="0" b="0"/>
          <wp:wrapNone/>
          <wp:docPr id="326947118" name="Picture 2"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lack and blue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0935" cy="311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tab/>
    </w:r>
  </w:p>
  <w:p w14:paraId="6091B6D5" w14:textId="3BB6522A" w:rsidR="00EC428F" w:rsidRDefault="00EC428F">
    <w:pPr>
      <w:pStyle w:val="Header"/>
    </w:pPr>
  </w:p>
  <w:p w14:paraId="7072245D" w14:textId="77777777" w:rsidR="00EC428F" w:rsidRDefault="00EC42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7655B"/>
    <w:multiLevelType w:val="hybridMultilevel"/>
    <w:tmpl w:val="348EA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741312"/>
    <w:multiLevelType w:val="hybridMultilevel"/>
    <w:tmpl w:val="F7DC79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771E3E"/>
    <w:multiLevelType w:val="multilevel"/>
    <w:tmpl w:val="E1A0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B015B"/>
    <w:multiLevelType w:val="multilevel"/>
    <w:tmpl w:val="1602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943708"/>
    <w:multiLevelType w:val="hybridMultilevel"/>
    <w:tmpl w:val="B3DA65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A2656B0"/>
    <w:multiLevelType w:val="hybridMultilevel"/>
    <w:tmpl w:val="DA987EBA"/>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6" w15:restartNumberingAfterBreak="0">
    <w:nsid w:val="4B942B9E"/>
    <w:multiLevelType w:val="multilevel"/>
    <w:tmpl w:val="0004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176529"/>
    <w:multiLevelType w:val="hybridMultilevel"/>
    <w:tmpl w:val="6BC8339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8267050"/>
    <w:multiLevelType w:val="hybridMultilevel"/>
    <w:tmpl w:val="1C42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A76E43"/>
    <w:multiLevelType w:val="hybridMultilevel"/>
    <w:tmpl w:val="5DA27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22621600">
    <w:abstractNumId w:val="3"/>
  </w:num>
  <w:num w:numId="2" w16cid:durableId="2081252369">
    <w:abstractNumId w:val="0"/>
  </w:num>
  <w:num w:numId="3" w16cid:durableId="889272381">
    <w:abstractNumId w:val="7"/>
  </w:num>
  <w:num w:numId="4" w16cid:durableId="1236355806">
    <w:abstractNumId w:val="1"/>
  </w:num>
  <w:num w:numId="5" w16cid:durableId="909656375">
    <w:abstractNumId w:val="9"/>
  </w:num>
  <w:num w:numId="6" w16cid:durableId="873232543">
    <w:abstractNumId w:val="5"/>
  </w:num>
  <w:num w:numId="7" w16cid:durableId="804740768">
    <w:abstractNumId w:val="8"/>
  </w:num>
  <w:num w:numId="8" w16cid:durableId="2135950237">
    <w:abstractNumId w:val="2"/>
  </w:num>
  <w:num w:numId="9" w16cid:durableId="1922367881">
    <w:abstractNumId w:val="6"/>
  </w:num>
  <w:num w:numId="10" w16cid:durableId="2067098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2F3"/>
    <w:rsid w:val="00002A19"/>
    <w:rsid w:val="000079AE"/>
    <w:rsid w:val="000103C9"/>
    <w:rsid w:val="00019641"/>
    <w:rsid w:val="00026A20"/>
    <w:rsid w:val="00045F40"/>
    <w:rsid w:val="000725D7"/>
    <w:rsid w:val="000D7F7F"/>
    <w:rsid w:val="000E3D3E"/>
    <w:rsid w:val="001035B4"/>
    <w:rsid w:val="001410F9"/>
    <w:rsid w:val="00161996"/>
    <w:rsid w:val="00161BCA"/>
    <w:rsid w:val="00195344"/>
    <w:rsid w:val="0021021F"/>
    <w:rsid w:val="00212AAF"/>
    <w:rsid w:val="002322F1"/>
    <w:rsid w:val="00244214"/>
    <w:rsid w:val="002556ED"/>
    <w:rsid w:val="002634C7"/>
    <w:rsid w:val="00292F78"/>
    <w:rsid w:val="00294F8E"/>
    <w:rsid w:val="002B79FF"/>
    <w:rsid w:val="002C0E98"/>
    <w:rsid w:val="002C6A5E"/>
    <w:rsid w:val="003000C9"/>
    <w:rsid w:val="0030527D"/>
    <w:rsid w:val="003178F7"/>
    <w:rsid w:val="003803DF"/>
    <w:rsid w:val="003A1AB2"/>
    <w:rsid w:val="003C23FF"/>
    <w:rsid w:val="003D4A6F"/>
    <w:rsid w:val="00401631"/>
    <w:rsid w:val="00412E61"/>
    <w:rsid w:val="00442AA9"/>
    <w:rsid w:val="00482792"/>
    <w:rsid w:val="00485518"/>
    <w:rsid w:val="00492931"/>
    <w:rsid w:val="0054521B"/>
    <w:rsid w:val="0058778C"/>
    <w:rsid w:val="005A2BEB"/>
    <w:rsid w:val="005A3F80"/>
    <w:rsid w:val="005D2604"/>
    <w:rsid w:val="005F71D8"/>
    <w:rsid w:val="00605991"/>
    <w:rsid w:val="00613F60"/>
    <w:rsid w:val="00631FBC"/>
    <w:rsid w:val="00632903"/>
    <w:rsid w:val="006735D2"/>
    <w:rsid w:val="006827D8"/>
    <w:rsid w:val="00691722"/>
    <w:rsid w:val="006C5324"/>
    <w:rsid w:val="00767A5D"/>
    <w:rsid w:val="00767E0F"/>
    <w:rsid w:val="007771D3"/>
    <w:rsid w:val="007808F5"/>
    <w:rsid w:val="00796E7B"/>
    <w:rsid w:val="007D7E71"/>
    <w:rsid w:val="00813A10"/>
    <w:rsid w:val="00831B4B"/>
    <w:rsid w:val="00831C00"/>
    <w:rsid w:val="00840E51"/>
    <w:rsid w:val="00880122"/>
    <w:rsid w:val="00890A64"/>
    <w:rsid w:val="008B053F"/>
    <w:rsid w:val="008C7C73"/>
    <w:rsid w:val="008E7B5B"/>
    <w:rsid w:val="008F298A"/>
    <w:rsid w:val="00953FC5"/>
    <w:rsid w:val="009769C4"/>
    <w:rsid w:val="00982D41"/>
    <w:rsid w:val="0098680D"/>
    <w:rsid w:val="009875B6"/>
    <w:rsid w:val="009A1689"/>
    <w:rsid w:val="00A57A5E"/>
    <w:rsid w:val="00A72BB5"/>
    <w:rsid w:val="00A757A5"/>
    <w:rsid w:val="00A8332D"/>
    <w:rsid w:val="00A851C4"/>
    <w:rsid w:val="00A964F2"/>
    <w:rsid w:val="00AB6949"/>
    <w:rsid w:val="00AD70CA"/>
    <w:rsid w:val="00B242F3"/>
    <w:rsid w:val="00BC06B9"/>
    <w:rsid w:val="00BD382A"/>
    <w:rsid w:val="00C01737"/>
    <w:rsid w:val="00C0405A"/>
    <w:rsid w:val="00C059E7"/>
    <w:rsid w:val="00C46B05"/>
    <w:rsid w:val="00C75FF4"/>
    <w:rsid w:val="00C829CF"/>
    <w:rsid w:val="00CD3EC5"/>
    <w:rsid w:val="00CD60BA"/>
    <w:rsid w:val="00D2684A"/>
    <w:rsid w:val="00D64132"/>
    <w:rsid w:val="00DD1CF0"/>
    <w:rsid w:val="00DD3777"/>
    <w:rsid w:val="00DD3913"/>
    <w:rsid w:val="00DE4735"/>
    <w:rsid w:val="00E10931"/>
    <w:rsid w:val="00E24E01"/>
    <w:rsid w:val="00E2772B"/>
    <w:rsid w:val="00E45197"/>
    <w:rsid w:val="00E52171"/>
    <w:rsid w:val="00E70CAD"/>
    <w:rsid w:val="00E74C0F"/>
    <w:rsid w:val="00EC08C6"/>
    <w:rsid w:val="00EC428F"/>
    <w:rsid w:val="00ED665E"/>
    <w:rsid w:val="00EF6F12"/>
    <w:rsid w:val="00F029C6"/>
    <w:rsid w:val="00F21732"/>
    <w:rsid w:val="00F3277A"/>
    <w:rsid w:val="00F65A8C"/>
    <w:rsid w:val="00F9073D"/>
    <w:rsid w:val="00FC585D"/>
    <w:rsid w:val="00FC73C0"/>
    <w:rsid w:val="00FD10BF"/>
    <w:rsid w:val="02CB74E4"/>
    <w:rsid w:val="07F8B82F"/>
    <w:rsid w:val="08D3641A"/>
    <w:rsid w:val="09940169"/>
    <w:rsid w:val="0A204ACE"/>
    <w:rsid w:val="0B0A84D8"/>
    <w:rsid w:val="0D20C090"/>
    <w:rsid w:val="0FD00106"/>
    <w:rsid w:val="0FFC1734"/>
    <w:rsid w:val="10426171"/>
    <w:rsid w:val="10E0AFEA"/>
    <w:rsid w:val="12ED54C8"/>
    <w:rsid w:val="14C49D91"/>
    <w:rsid w:val="17030B8F"/>
    <w:rsid w:val="26A031B2"/>
    <w:rsid w:val="2A88B528"/>
    <w:rsid w:val="2E453EF7"/>
    <w:rsid w:val="2EC285B1"/>
    <w:rsid w:val="2FE63C07"/>
    <w:rsid w:val="317B61D6"/>
    <w:rsid w:val="35E610D4"/>
    <w:rsid w:val="38F6A0DA"/>
    <w:rsid w:val="431E0FA1"/>
    <w:rsid w:val="440FF1B4"/>
    <w:rsid w:val="44639804"/>
    <w:rsid w:val="4482D314"/>
    <w:rsid w:val="48AB300B"/>
    <w:rsid w:val="49FB2AFB"/>
    <w:rsid w:val="4EBEEB17"/>
    <w:rsid w:val="4EC5B500"/>
    <w:rsid w:val="503C5B1F"/>
    <w:rsid w:val="54120107"/>
    <w:rsid w:val="549F898F"/>
    <w:rsid w:val="582F09EB"/>
    <w:rsid w:val="5D941D4B"/>
    <w:rsid w:val="645E59BA"/>
    <w:rsid w:val="6817D7E5"/>
    <w:rsid w:val="69E67DEE"/>
    <w:rsid w:val="6D06F5B7"/>
    <w:rsid w:val="7967947C"/>
    <w:rsid w:val="7EFF9860"/>
    <w:rsid w:val="7F62B0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7E207"/>
  <w15:chartTrackingRefBased/>
  <w15:docId w15:val="{630FEE4D-7650-44B4-B344-03E25108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80D"/>
  </w:style>
  <w:style w:type="paragraph" w:styleId="Heading1">
    <w:name w:val="heading 1"/>
    <w:basedOn w:val="Normal"/>
    <w:next w:val="Normal"/>
    <w:link w:val="Heading1Char"/>
    <w:uiPriority w:val="9"/>
    <w:qFormat/>
    <w:rsid w:val="00B242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42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42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42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42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42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42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42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42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2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42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42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42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42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42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42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42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42F3"/>
    <w:rPr>
      <w:rFonts w:eastAsiaTheme="majorEastAsia" w:cstheme="majorBidi"/>
      <w:color w:val="272727" w:themeColor="text1" w:themeTint="D8"/>
    </w:rPr>
  </w:style>
  <w:style w:type="paragraph" w:styleId="Title">
    <w:name w:val="Title"/>
    <w:basedOn w:val="Normal"/>
    <w:next w:val="Normal"/>
    <w:link w:val="TitleChar"/>
    <w:uiPriority w:val="10"/>
    <w:qFormat/>
    <w:rsid w:val="00B242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2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2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2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42F3"/>
    <w:pPr>
      <w:spacing w:before="160"/>
      <w:jc w:val="center"/>
    </w:pPr>
    <w:rPr>
      <w:i/>
      <w:iCs/>
      <w:color w:val="404040" w:themeColor="text1" w:themeTint="BF"/>
    </w:rPr>
  </w:style>
  <w:style w:type="character" w:customStyle="1" w:styleId="QuoteChar">
    <w:name w:val="Quote Char"/>
    <w:basedOn w:val="DefaultParagraphFont"/>
    <w:link w:val="Quote"/>
    <w:uiPriority w:val="29"/>
    <w:rsid w:val="00B242F3"/>
    <w:rPr>
      <w:i/>
      <w:iCs/>
      <w:color w:val="404040" w:themeColor="text1" w:themeTint="BF"/>
    </w:rPr>
  </w:style>
  <w:style w:type="paragraph" w:styleId="ListParagraph">
    <w:name w:val="List Paragraph"/>
    <w:basedOn w:val="Normal"/>
    <w:uiPriority w:val="34"/>
    <w:qFormat/>
    <w:rsid w:val="00B242F3"/>
    <w:pPr>
      <w:ind w:left="720"/>
      <w:contextualSpacing/>
    </w:pPr>
  </w:style>
  <w:style w:type="character" w:styleId="IntenseEmphasis">
    <w:name w:val="Intense Emphasis"/>
    <w:basedOn w:val="DefaultParagraphFont"/>
    <w:uiPriority w:val="21"/>
    <w:qFormat/>
    <w:rsid w:val="00B242F3"/>
    <w:rPr>
      <w:i/>
      <w:iCs/>
      <w:color w:val="0F4761" w:themeColor="accent1" w:themeShade="BF"/>
    </w:rPr>
  </w:style>
  <w:style w:type="paragraph" w:styleId="IntenseQuote">
    <w:name w:val="Intense Quote"/>
    <w:basedOn w:val="Normal"/>
    <w:next w:val="Normal"/>
    <w:link w:val="IntenseQuoteChar"/>
    <w:uiPriority w:val="30"/>
    <w:qFormat/>
    <w:rsid w:val="00B242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42F3"/>
    <w:rPr>
      <w:i/>
      <w:iCs/>
      <w:color w:val="0F4761" w:themeColor="accent1" w:themeShade="BF"/>
    </w:rPr>
  </w:style>
  <w:style w:type="character" w:styleId="IntenseReference">
    <w:name w:val="Intense Reference"/>
    <w:basedOn w:val="DefaultParagraphFont"/>
    <w:uiPriority w:val="32"/>
    <w:qFormat/>
    <w:rsid w:val="00B242F3"/>
    <w:rPr>
      <w:b/>
      <w:bCs/>
      <w:smallCaps/>
      <w:color w:val="0F4761" w:themeColor="accent1" w:themeShade="BF"/>
      <w:spacing w:val="5"/>
    </w:rPr>
  </w:style>
  <w:style w:type="paragraph" w:styleId="Revision">
    <w:name w:val="Revision"/>
    <w:hidden/>
    <w:uiPriority w:val="99"/>
    <w:semiHidden/>
    <w:rsid w:val="000E3D3E"/>
    <w:pPr>
      <w:spacing w:after="0" w:line="240" w:lineRule="auto"/>
    </w:pPr>
  </w:style>
  <w:style w:type="character" w:styleId="Hyperlink">
    <w:name w:val="Hyperlink"/>
    <w:basedOn w:val="DefaultParagraphFont"/>
    <w:uiPriority w:val="99"/>
    <w:unhideWhenUsed/>
    <w:rsid w:val="00CD3EC5"/>
    <w:rPr>
      <w:color w:val="467886" w:themeColor="hyperlink"/>
      <w:u w:val="single"/>
    </w:rPr>
  </w:style>
  <w:style w:type="character" w:styleId="UnresolvedMention">
    <w:name w:val="Unresolved Mention"/>
    <w:basedOn w:val="DefaultParagraphFont"/>
    <w:uiPriority w:val="99"/>
    <w:semiHidden/>
    <w:unhideWhenUsed/>
    <w:rsid w:val="00CD3EC5"/>
    <w:rPr>
      <w:color w:val="605E5C"/>
      <w:shd w:val="clear" w:color="auto" w:fill="E1DFDD"/>
    </w:rPr>
  </w:style>
  <w:style w:type="paragraph" w:styleId="Header">
    <w:name w:val="header"/>
    <w:basedOn w:val="Normal"/>
    <w:link w:val="HeaderChar"/>
    <w:uiPriority w:val="99"/>
    <w:unhideWhenUsed/>
    <w:rsid w:val="00EC42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28F"/>
  </w:style>
  <w:style w:type="paragraph" w:styleId="Footer">
    <w:name w:val="footer"/>
    <w:basedOn w:val="Normal"/>
    <w:link w:val="FooterChar"/>
    <w:uiPriority w:val="99"/>
    <w:unhideWhenUsed/>
    <w:rsid w:val="00EC4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299793">
      <w:bodyDiv w:val="1"/>
      <w:marLeft w:val="0"/>
      <w:marRight w:val="0"/>
      <w:marTop w:val="0"/>
      <w:marBottom w:val="0"/>
      <w:divBdr>
        <w:top w:val="none" w:sz="0" w:space="0" w:color="auto"/>
        <w:left w:val="none" w:sz="0" w:space="0" w:color="auto"/>
        <w:bottom w:val="none" w:sz="0" w:space="0" w:color="auto"/>
        <w:right w:val="none" w:sz="0" w:space="0" w:color="auto"/>
      </w:divBdr>
    </w:div>
    <w:div w:id="19580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ani.org.uk" TargetMode="External"/><Relationship Id="rId5" Type="http://schemas.openxmlformats.org/officeDocument/2006/relationships/styles" Target="styles.xml"/><Relationship Id="rId10" Type="http://schemas.openxmlformats.org/officeDocument/2006/relationships/hyperlink" Target="https://www.education-ni.gov.uk/news/revised-20242025-teachers-pay-off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561bd7-cf46-4115-b56f-4fafd158e580">
      <Terms xmlns="http://schemas.microsoft.com/office/infopath/2007/PartnerControls"/>
    </lcf76f155ced4ddcb4097134ff3c332f>
    <TaxCatchAll xmlns="0120290d-729c-4691-acd4-ed409f8e9df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0FE7FEBA74644E9FBCD8338703B329" ma:contentTypeVersion="12" ma:contentTypeDescription="Create a new document." ma:contentTypeScope="" ma:versionID="f542e93bbb74619da8181aeec5db71ef">
  <xsd:schema xmlns:xsd="http://www.w3.org/2001/XMLSchema" xmlns:xs="http://www.w3.org/2001/XMLSchema" xmlns:p="http://schemas.microsoft.com/office/2006/metadata/properties" xmlns:ns2="f4561bd7-cf46-4115-b56f-4fafd158e580" xmlns:ns3="0120290d-729c-4691-acd4-ed409f8e9df1" targetNamespace="http://schemas.microsoft.com/office/2006/metadata/properties" ma:root="true" ma:fieldsID="53aff7d1022058aab95b8cac62257af1" ns2:_="" ns3:_="">
    <xsd:import namespace="f4561bd7-cf46-4115-b56f-4fafd158e580"/>
    <xsd:import namespace="0120290d-729c-4691-acd4-ed409f8e9df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561bd7-cf46-4115-b56f-4fafd158e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aff38f7-ee34-4d40-91c2-8b7815243f0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20290d-729c-4691-acd4-ed409f8e9df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91da21-5f8b-4e51-a774-c4e37aebbfaa}" ma:internalName="TaxCatchAll" ma:showField="CatchAllData" ma:web="0120290d-729c-4691-acd4-ed409f8e9d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D237F-8D1F-449E-ABAD-B54FF10F8471}">
  <ds:schemaRefs>
    <ds:schemaRef ds:uri="http://schemas.microsoft.com/office/2006/metadata/properties"/>
    <ds:schemaRef ds:uri="http://schemas.microsoft.com/office/infopath/2007/PartnerControls"/>
    <ds:schemaRef ds:uri="f4561bd7-cf46-4115-b56f-4fafd158e580"/>
    <ds:schemaRef ds:uri="0120290d-729c-4691-acd4-ed409f8e9df1"/>
  </ds:schemaRefs>
</ds:datastoreItem>
</file>

<file path=customXml/itemProps2.xml><?xml version="1.0" encoding="utf-8"?>
<ds:datastoreItem xmlns:ds="http://schemas.openxmlformats.org/officeDocument/2006/customXml" ds:itemID="{5D107EBC-DF6C-4C07-AFD4-8E9B6901B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561bd7-cf46-4115-b56f-4fafd158e580"/>
    <ds:schemaRef ds:uri="0120290d-729c-4691-acd4-ed409f8e9d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DF7FE0-7368-471C-901F-F0F2D8E71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3381</Characters>
  <Application>Microsoft Office Word</Application>
  <DocSecurity>0</DocSecurity>
  <Lines>28</Lines>
  <Paragraphs>7</Paragraphs>
  <ScaleCrop>false</ScaleCrop>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McGreevy</dc:creator>
  <cp:keywords/>
  <dc:description/>
  <cp:lastModifiedBy>Philip Moore</cp:lastModifiedBy>
  <cp:revision>4</cp:revision>
  <cp:lastPrinted>2025-03-27T16:39:00Z</cp:lastPrinted>
  <dcterms:created xsi:type="dcterms:W3CDTF">2025-03-27T16:47:00Z</dcterms:created>
  <dcterms:modified xsi:type="dcterms:W3CDTF">2025-03-27T16:47:00Z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0x010100E30FE7FEBA74644E9FBCD8338703B329</vt:lpwstr>
  </property>
  <property fmtid="{D5CDD505-2E9C-101B-9397-08002B2CF9AE}" pid="3" name="MediaServiceImageTags">
    <vt:lpwstr/>
  </property>
</Properties>
</file>